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9A37" w14:textId="77777777" w:rsidR="007C5E33" w:rsidRPr="007C5E33" w:rsidRDefault="007C5E33" w:rsidP="007C5E33">
      <w:pPr>
        <w:shd w:val="clear" w:color="auto" w:fill="FFFFFF"/>
        <w:spacing w:after="100" w:afterAutospacing="1" w:line="240" w:lineRule="auto"/>
        <w:outlineLvl w:val="0"/>
        <w:rPr>
          <w:rFonts w:ascii="inherit" w:eastAsia="Times New Roman" w:hAnsi="inherit" w:cs="Times New Roman"/>
          <w:b/>
          <w:bCs/>
          <w:color w:val="000000"/>
          <w:kern w:val="36"/>
          <w:sz w:val="48"/>
          <w:szCs w:val="48"/>
          <w:lang w:eastAsia="it-IT"/>
          <w14:ligatures w14:val="none"/>
        </w:rPr>
      </w:pPr>
      <w:r w:rsidRPr="007C5E33">
        <w:rPr>
          <w:rFonts w:ascii="inherit" w:eastAsia="Times New Roman" w:hAnsi="inherit" w:cs="Times New Roman"/>
          <w:b/>
          <w:bCs/>
          <w:color w:val="000000"/>
          <w:kern w:val="36"/>
          <w:sz w:val="48"/>
          <w:szCs w:val="48"/>
          <w:lang w:eastAsia="it-IT"/>
          <w14:ligatures w14:val="none"/>
        </w:rPr>
        <w:t>Tutela della qualità dell'aria: vincoli alla bruciatura dei residui colturali</w:t>
      </w:r>
    </w:p>
    <w:p w14:paraId="6544CA0B" w14:textId="77777777" w:rsidR="007C5E33" w:rsidRPr="007C5E33" w:rsidRDefault="007C5E33" w:rsidP="007C5E33">
      <w:pPr>
        <w:shd w:val="clear" w:color="auto" w:fill="FFFFFF"/>
        <w:spacing w:after="0" w:line="240" w:lineRule="auto"/>
        <w:rPr>
          <w:rFonts w:ascii="Titillium Web" w:eastAsia="Times New Roman" w:hAnsi="Titillium Web" w:cs="Times New Roman"/>
          <w:b/>
          <w:bCs/>
          <w:color w:val="000000"/>
          <w:kern w:val="0"/>
          <w:sz w:val="27"/>
          <w:szCs w:val="27"/>
          <w:lang w:eastAsia="it-IT"/>
          <w14:ligatures w14:val="none"/>
        </w:rPr>
      </w:pPr>
      <w:r w:rsidRPr="007C5E33">
        <w:rPr>
          <w:rFonts w:ascii="Titillium Web" w:eastAsia="Times New Roman" w:hAnsi="Titillium Web" w:cs="Times New Roman"/>
          <w:b/>
          <w:bCs/>
          <w:color w:val="000000"/>
          <w:kern w:val="0"/>
          <w:sz w:val="27"/>
          <w:szCs w:val="27"/>
          <w:lang w:eastAsia="it-IT"/>
          <w14:ligatures w14:val="none"/>
        </w:rPr>
        <w:t>Data notizia</w:t>
      </w:r>
    </w:p>
    <w:p w14:paraId="1B08049B" w14:textId="77777777" w:rsidR="007C5E33" w:rsidRPr="007C5E33" w:rsidRDefault="007C5E33" w:rsidP="007C5E33">
      <w:pPr>
        <w:shd w:val="clear" w:color="auto" w:fill="FFFFFF"/>
        <w:spacing w:after="0" w:line="240" w:lineRule="auto"/>
        <w:ind w:left="720"/>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color w:val="000000"/>
          <w:kern w:val="0"/>
          <w:sz w:val="27"/>
          <w:szCs w:val="27"/>
          <w:lang w:eastAsia="it-IT"/>
          <w14:ligatures w14:val="none"/>
        </w:rPr>
        <w:t>18 Settembre 2023</w:t>
      </w:r>
    </w:p>
    <w:p w14:paraId="1DA56FE0" w14:textId="77777777" w:rsidR="007C5E33" w:rsidRPr="007C5E33" w:rsidRDefault="007C5E33" w:rsidP="007C5E33">
      <w:pPr>
        <w:shd w:val="clear" w:color="auto" w:fill="FFFFFF"/>
        <w:spacing w:after="0" w:line="240" w:lineRule="auto"/>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color w:val="000000"/>
          <w:kern w:val="0"/>
          <w:sz w:val="27"/>
          <w:szCs w:val="27"/>
          <w:lang w:eastAsia="it-IT"/>
          <w14:ligatures w14:val="none"/>
        </w:rPr>
        <w:t>L'abbruciamento dei residui colturali è una pratica da abbandonare, per motivazioni agronomiche (si distrugge sostanza organica, elemento alla base della fertilità del suolo), ambientali (si produce particolato fine, molto nocivo per la salute dei cittadini) e di sicurezza (aumenta il rischio di incendi boschivi).</w:t>
      </w:r>
    </w:p>
    <w:p w14:paraId="6EC19560" w14:textId="77777777" w:rsidR="007C5E33" w:rsidRPr="007C5E33" w:rsidRDefault="007C5E33" w:rsidP="007C5E33">
      <w:pPr>
        <w:shd w:val="clear" w:color="auto" w:fill="FFFFFF"/>
        <w:spacing w:after="100" w:afterAutospacing="1" w:line="240" w:lineRule="auto"/>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color w:val="000000"/>
          <w:kern w:val="0"/>
          <w:sz w:val="27"/>
          <w:szCs w:val="27"/>
          <w:lang w:eastAsia="it-IT"/>
          <w14:ligatures w14:val="none"/>
        </w:rPr>
        <w:t>Dal 2021 (DGR 26 febbraio 2021, n. 9-2916) per gli abbruciamenti dei residui colturali, sia in ambito agricolo che hobbistico, sono vigenti vincoli rafforzati nel periodo invernale, quando è particolarmente alto il rischio di superamento delle soglie massime di concentrazione delle polveri sottili:</w:t>
      </w:r>
    </w:p>
    <w:p w14:paraId="138C7C23" w14:textId="77777777" w:rsidR="007C5E33" w:rsidRPr="007C5E33" w:rsidRDefault="007C5E33" w:rsidP="007C5E33">
      <w:pPr>
        <w:shd w:val="clear" w:color="auto" w:fill="FFFFFF"/>
        <w:spacing w:after="100" w:afterAutospacing="1" w:line="240" w:lineRule="auto"/>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color w:val="000000"/>
          <w:kern w:val="0"/>
          <w:sz w:val="27"/>
          <w:szCs w:val="27"/>
          <w:lang w:eastAsia="it-IT"/>
          <w14:ligatures w14:val="none"/>
        </w:rPr>
        <w:t>-</w:t>
      </w:r>
      <w:r w:rsidRPr="007C5E33">
        <w:rPr>
          <w:rFonts w:ascii="Titillium Web" w:eastAsia="Times New Roman" w:hAnsi="Titillium Web" w:cs="Times New Roman"/>
          <w:b/>
          <w:bCs/>
          <w:color w:val="000000"/>
          <w:kern w:val="0"/>
          <w:sz w:val="27"/>
          <w:szCs w:val="27"/>
          <w:lang w:eastAsia="it-IT"/>
          <w14:ligatures w14:val="none"/>
        </w:rPr>
        <w:t> nelle aree di superamento dei valori massimi di particolato nell'aria (</w:t>
      </w:r>
      <w:hyperlink r:id="rId4" w:history="1">
        <w:r w:rsidRPr="007C5E33">
          <w:rPr>
            <w:rFonts w:ascii="Titillium Web" w:eastAsia="Times New Roman" w:hAnsi="Titillium Web" w:cs="Times New Roman"/>
            <w:b/>
            <w:bCs/>
            <w:color w:val="AD191A"/>
            <w:kern w:val="0"/>
            <w:sz w:val="27"/>
            <w:szCs w:val="27"/>
            <w:u w:val="single"/>
            <w:lang w:eastAsia="it-IT"/>
            <w14:ligatures w14:val="none"/>
          </w:rPr>
          <w:t>Comuni delle Zone IT0118, IT0119 e IT0120</w:t>
        </w:r>
      </w:hyperlink>
      <w:r w:rsidRPr="007C5E33">
        <w:rPr>
          <w:rFonts w:ascii="Titillium Web" w:eastAsia="Times New Roman" w:hAnsi="Titillium Web" w:cs="Times New Roman"/>
          <w:b/>
          <w:bCs/>
          <w:color w:val="000000"/>
          <w:kern w:val="0"/>
          <w:sz w:val="27"/>
          <w:szCs w:val="27"/>
          <w:lang w:eastAsia="it-IT"/>
          <w14:ligatures w14:val="none"/>
        </w:rPr>
        <w:t> </w:t>
      </w:r>
      <w:r w:rsidRPr="007C5E33">
        <w:rPr>
          <w:rFonts w:ascii="Titillium Web" w:eastAsia="Times New Roman" w:hAnsi="Titillium Web" w:cs="Times New Roman"/>
          <w:color w:val="000000"/>
          <w:kern w:val="0"/>
          <w:sz w:val="27"/>
          <w:szCs w:val="27"/>
          <w:lang w:eastAsia="it-IT"/>
          <w14:ligatures w14:val="none"/>
        </w:rPr>
        <w:t>- </w:t>
      </w:r>
      <w:r w:rsidRPr="007C5E33">
        <w:rPr>
          <w:rFonts w:ascii="Titillium Web" w:eastAsia="Times New Roman" w:hAnsi="Titillium Web" w:cs="Times New Roman"/>
          <w:i/>
          <w:iCs/>
          <w:color w:val="000000"/>
          <w:kern w:val="0"/>
          <w:sz w:val="27"/>
          <w:szCs w:val="27"/>
          <w:lang w:eastAsia="it-IT"/>
          <w14:ligatures w14:val="none"/>
        </w:rPr>
        <w:t xml:space="preserve">il link apre un elenco </w:t>
      </w:r>
      <w:proofErr w:type="spellStart"/>
      <w:r w:rsidRPr="007C5E33">
        <w:rPr>
          <w:rFonts w:ascii="Titillium Web" w:eastAsia="Times New Roman" w:hAnsi="Titillium Web" w:cs="Times New Roman"/>
          <w:i/>
          <w:iCs/>
          <w:color w:val="000000"/>
          <w:kern w:val="0"/>
          <w:sz w:val="27"/>
          <w:szCs w:val="27"/>
          <w:lang w:eastAsia="it-IT"/>
          <w14:ligatures w14:val="none"/>
        </w:rPr>
        <w:t>xls</w:t>
      </w:r>
      <w:proofErr w:type="spellEnd"/>
      <w:r w:rsidRPr="007C5E33">
        <w:rPr>
          <w:rFonts w:ascii="Titillium Web" w:eastAsia="Times New Roman" w:hAnsi="Titillium Web" w:cs="Times New Roman"/>
          <w:color w:val="000000"/>
          <w:kern w:val="0"/>
          <w:sz w:val="27"/>
          <w:szCs w:val="27"/>
          <w:lang w:eastAsia="it-IT"/>
          <w14:ligatures w14:val="none"/>
        </w:rPr>
        <w:t>)</w:t>
      </w:r>
      <w:r w:rsidRPr="007C5E33">
        <w:rPr>
          <w:rFonts w:ascii="Titillium Web" w:eastAsia="Times New Roman" w:hAnsi="Titillium Web" w:cs="Times New Roman"/>
          <w:b/>
          <w:bCs/>
          <w:color w:val="000000"/>
          <w:kern w:val="0"/>
          <w:sz w:val="27"/>
          <w:szCs w:val="27"/>
          <w:lang w:eastAsia="it-IT"/>
          <w14:ligatures w14:val="none"/>
        </w:rPr>
        <w:t>, </w:t>
      </w:r>
      <w:r w:rsidRPr="007C5E33">
        <w:rPr>
          <w:rFonts w:ascii="Titillium Web" w:eastAsia="Times New Roman" w:hAnsi="Titillium Web" w:cs="Times New Roman"/>
          <w:b/>
          <w:bCs/>
          <w:i/>
          <w:iCs/>
          <w:color w:val="000000"/>
          <w:kern w:val="0"/>
          <w:sz w:val="27"/>
          <w:szCs w:val="27"/>
          <w:lang w:eastAsia="it-IT"/>
          <w14:ligatures w14:val="none"/>
        </w:rPr>
        <w:t>dal 1 settembre al 15 aprile</w:t>
      </w:r>
      <w:r w:rsidRPr="007C5E33">
        <w:rPr>
          <w:rFonts w:ascii="Titillium Web" w:eastAsia="Times New Roman" w:hAnsi="Titillium Web" w:cs="Times New Roman"/>
          <w:color w:val="000000"/>
          <w:kern w:val="0"/>
          <w:sz w:val="27"/>
          <w:szCs w:val="27"/>
          <w:lang w:eastAsia="it-IT"/>
          <w14:ligatures w14:val="none"/>
        </w:rPr>
        <w:t> è vietato bruciare le paglie e le stoppie di riso, mentre </w:t>
      </w:r>
      <w:r w:rsidRPr="007C5E33">
        <w:rPr>
          <w:rFonts w:ascii="Titillium Web" w:eastAsia="Times New Roman" w:hAnsi="Titillium Web" w:cs="Times New Roman"/>
          <w:b/>
          <w:bCs/>
          <w:i/>
          <w:iCs/>
          <w:color w:val="000000"/>
          <w:kern w:val="0"/>
          <w:sz w:val="27"/>
          <w:szCs w:val="27"/>
          <w:lang w:eastAsia="it-IT"/>
          <w14:ligatures w14:val="none"/>
        </w:rPr>
        <w:t>dal 15 settembre al 15 aprile</w:t>
      </w:r>
      <w:r w:rsidRPr="007C5E33">
        <w:rPr>
          <w:rFonts w:ascii="Titillium Web" w:eastAsia="Times New Roman" w:hAnsi="Titillium Web" w:cs="Times New Roman"/>
          <w:color w:val="000000"/>
          <w:kern w:val="0"/>
          <w:sz w:val="27"/>
          <w:szCs w:val="27"/>
          <w:lang w:eastAsia="it-IT"/>
          <w14:ligatures w14:val="none"/>
        </w:rPr>
        <w:t> è vietato bruciare qualsiasi materiale vegetale, sia erbaceo che arboreo, anche se in piccoli cumuli e/o al di fuori dell'ambito agricolo professionale (es. orti e giardini privati) né è applicabile da parte dei Sindaci alcuna deroga temporanea al divieto. Ad oggi, non è applicabile nemmeno la deroga prevista per le emergenze fitosanitarie, poiché in Piemonte l'Autorità competente non ha proclamato emergenze fitosanitarie che prescrivano la bruciatura dei residui colturali.</w:t>
      </w:r>
    </w:p>
    <w:p w14:paraId="0F8312B9" w14:textId="77777777" w:rsidR="007C5E33" w:rsidRPr="007C5E33" w:rsidRDefault="007C5E33" w:rsidP="007C5E33">
      <w:pPr>
        <w:shd w:val="clear" w:color="auto" w:fill="FFFFFF"/>
        <w:spacing w:after="100" w:afterAutospacing="1" w:line="240" w:lineRule="auto"/>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b/>
          <w:bCs/>
          <w:color w:val="000000"/>
          <w:kern w:val="0"/>
          <w:sz w:val="27"/>
          <w:szCs w:val="27"/>
          <w:lang w:eastAsia="it-IT"/>
          <w14:ligatures w14:val="none"/>
        </w:rPr>
        <w:t>- nel resto del territorio regionale</w:t>
      </w:r>
      <w:r w:rsidRPr="007C5E33">
        <w:rPr>
          <w:rFonts w:ascii="Titillium Web" w:eastAsia="Times New Roman" w:hAnsi="Titillium Web" w:cs="Times New Roman"/>
          <w:color w:val="000000"/>
          <w:kern w:val="0"/>
          <w:sz w:val="27"/>
          <w:szCs w:val="27"/>
          <w:lang w:eastAsia="it-IT"/>
          <w14:ligatures w14:val="none"/>
        </w:rPr>
        <w:t>, il divieto di bruciatura decorre </w:t>
      </w:r>
      <w:r w:rsidRPr="007C5E33">
        <w:rPr>
          <w:rFonts w:ascii="Titillium Web" w:eastAsia="Times New Roman" w:hAnsi="Titillium Web" w:cs="Times New Roman"/>
          <w:b/>
          <w:bCs/>
          <w:i/>
          <w:iCs/>
          <w:color w:val="000000"/>
          <w:kern w:val="0"/>
          <w:sz w:val="27"/>
          <w:szCs w:val="27"/>
          <w:lang w:eastAsia="it-IT"/>
          <w14:ligatures w14:val="none"/>
        </w:rPr>
        <w:t>dal 1 novembre al 31 marzo</w:t>
      </w:r>
      <w:r w:rsidRPr="007C5E33">
        <w:rPr>
          <w:rFonts w:ascii="Titillium Web" w:eastAsia="Times New Roman" w:hAnsi="Titillium Web" w:cs="Times New Roman"/>
          <w:color w:val="000000"/>
          <w:kern w:val="0"/>
          <w:sz w:val="27"/>
          <w:szCs w:val="27"/>
          <w:lang w:eastAsia="it-IT"/>
          <w14:ligatures w14:val="none"/>
        </w:rPr>
        <w:t>; ai sensi della Legge regionale 1/2019, i Sindaci possono derogare con propria ordinanza per max 30 gg., anche non continuativi, purché siano tenuti in debito conto le condizioni meteoclimatiche sfavorevoli e i rischi per la pubblica e privata incolumità e la salute umana, con particolare riferimento al rispetto dei livelli annuali delle polveri sottili, nonché sia preventivamente verificata l'assenza della dichiarazione di "stato di massima pericolosità per incendi boschivi", che viene comunicato anche sul </w:t>
      </w:r>
      <w:hyperlink r:id="rId5" w:tgtFrame="_blank" w:history="1">
        <w:r w:rsidRPr="007C5E33">
          <w:rPr>
            <w:rFonts w:ascii="Titillium Web" w:eastAsia="Times New Roman" w:hAnsi="Titillium Web" w:cs="Times New Roman"/>
            <w:b/>
            <w:bCs/>
            <w:color w:val="AD191A"/>
            <w:kern w:val="0"/>
            <w:sz w:val="27"/>
            <w:szCs w:val="27"/>
            <w:u w:val="single"/>
            <w:lang w:eastAsia="it-IT"/>
            <w14:ligatures w14:val="none"/>
          </w:rPr>
          <w:t>portale regionale</w:t>
        </w:r>
      </w:hyperlink>
    </w:p>
    <w:p w14:paraId="32720C0A" w14:textId="77777777" w:rsidR="007C5E33" w:rsidRPr="007C5E33" w:rsidRDefault="007C5E33" w:rsidP="007C5E33">
      <w:pPr>
        <w:shd w:val="clear" w:color="auto" w:fill="FFFFFF"/>
        <w:spacing w:after="100" w:afterAutospacing="1" w:line="240" w:lineRule="auto"/>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color w:val="000000"/>
          <w:kern w:val="0"/>
          <w:sz w:val="27"/>
          <w:szCs w:val="27"/>
          <w:lang w:eastAsia="it-IT"/>
          <w14:ligatures w14:val="none"/>
        </w:rPr>
        <w:t>Tag </w:t>
      </w:r>
      <w:hyperlink r:id="rId6" w:history="1">
        <w:r w:rsidRPr="007C5E33">
          <w:rPr>
            <w:rFonts w:ascii="Titillium Web" w:eastAsia="Times New Roman" w:hAnsi="Titillium Web" w:cs="Times New Roman"/>
            <w:b/>
            <w:bCs/>
            <w:color w:val="AD191A"/>
            <w:kern w:val="0"/>
            <w:sz w:val="27"/>
            <w:szCs w:val="27"/>
            <w:u w:val="single"/>
            <w:lang w:eastAsia="it-IT"/>
            <w14:ligatures w14:val="none"/>
          </w:rPr>
          <w:t>#abbruciamenti</w:t>
        </w:r>
      </w:hyperlink>
      <w:r w:rsidRPr="007C5E33">
        <w:rPr>
          <w:rFonts w:ascii="Titillium Web" w:eastAsia="Times New Roman" w:hAnsi="Titillium Web" w:cs="Times New Roman"/>
          <w:color w:val="000000"/>
          <w:kern w:val="0"/>
          <w:sz w:val="27"/>
          <w:szCs w:val="27"/>
          <w:lang w:eastAsia="it-IT"/>
          <w14:ligatures w14:val="none"/>
        </w:rPr>
        <w:t>, </w:t>
      </w:r>
      <w:hyperlink r:id="rId7" w:history="1">
        <w:r w:rsidRPr="007C5E33">
          <w:rPr>
            <w:rFonts w:ascii="Titillium Web" w:eastAsia="Times New Roman" w:hAnsi="Titillium Web" w:cs="Times New Roman"/>
            <w:b/>
            <w:bCs/>
            <w:color w:val="AD191A"/>
            <w:kern w:val="0"/>
            <w:sz w:val="27"/>
            <w:szCs w:val="27"/>
            <w:u w:val="single"/>
            <w:lang w:eastAsia="it-IT"/>
            <w14:ligatures w14:val="none"/>
          </w:rPr>
          <w:t>#residui-vegetali</w:t>
        </w:r>
      </w:hyperlink>
    </w:p>
    <w:p w14:paraId="5C44A463" w14:textId="77777777" w:rsidR="007C5E33" w:rsidRPr="007C5E33" w:rsidRDefault="007C5E33" w:rsidP="007C5E33">
      <w:pPr>
        <w:shd w:val="clear" w:color="auto" w:fill="FFFFFF"/>
        <w:spacing w:after="0" w:line="240" w:lineRule="auto"/>
        <w:ind w:left="720"/>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color w:val="000000"/>
          <w:kern w:val="0"/>
          <w:sz w:val="27"/>
          <w:szCs w:val="27"/>
          <w:lang w:eastAsia="it-IT"/>
          <w14:ligatures w14:val="none"/>
        </w:rPr>
        <w:lastRenderedPageBreak/>
        <w:t> </w:t>
      </w:r>
    </w:p>
    <w:p w14:paraId="5063521D" w14:textId="77777777" w:rsidR="007C5E33" w:rsidRPr="007C5E33" w:rsidRDefault="007C5E33" w:rsidP="007C5E33">
      <w:pPr>
        <w:shd w:val="clear" w:color="auto" w:fill="FFFFFF"/>
        <w:spacing w:after="0" w:line="240" w:lineRule="auto"/>
        <w:ind w:left="720"/>
        <w:rPr>
          <w:rFonts w:ascii="Titillium Web" w:eastAsia="Times New Roman" w:hAnsi="Titillium Web" w:cs="Times New Roman"/>
          <w:color w:val="000000"/>
          <w:kern w:val="0"/>
          <w:sz w:val="27"/>
          <w:szCs w:val="27"/>
          <w:lang w:eastAsia="it-IT"/>
          <w14:ligatures w14:val="none"/>
        </w:rPr>
      </w:pPr>
      <w:r w:rsidRPr="007C5E33">
        <w:rPr>
          <w:rFonts w:ascii="Titillium Web" w:eastAsia="Times New Roman" w:hAnsi="Titillium Web" w:cs="Times New Roman"/>
          <w:i/>
          <w:iCs/>
          <w:color w:val="000000"/>
          <w:kern w:val="0"/>
          <w:sz w:val="27"/>
          <w:szCs w:val="27"/>
          <w:lang w:eastAsia="it-IT"/>
          <w14:ligatures w14:val="none"/>
        </w:rPr>
        <w:t>Per chiarimenti: Settore Emissioni e Rischi ambientali (email: risanamento.atmosferico@regione.piemonte.it, </w:t>
      </w:r>
      <w:proofErr w:type="spellStart"/>
      <w:r w:rsidRPr="007C5E33">
        <w:rPr>
          <w:rFonts w:ascii="Titillium Web" w:eastAsia="Times New Roman" w:hAnsi="Titillium Web" w:cs="Times New Roman"/>
          <w:i/>
          <w:iCs/>
          <w:color w:val="000000"/>
          <w:kern w:val="0"/>
          <w:sz w:val="27"/>
          <w:szCs w:val="27"/>
          <w:lang w:eastAsia="it-IT"/>
          <w14:ligatures w14:val="none"/>
        </w:rPr>
        <w:t>tel</w:t>
      </w:r>
      <w:proofErr w:type="spellEnd"/>
      <w:r w:rsidRPr="007C5E33">
        <w:rPr>
          <w:rFonts w:ascii="Titillium Web" w:eastAsia="Times New Roman" w:hAnsi="Titillium Web" w:cs="Times New Roman"/>
          <w:i/>
          <w:iCs/>
          <w:color w:val="000000"/>
          <w:kern w:val="0"/>
          <w:sz w:val="27"/>
          <w:szCs w:val="27"/>
          <w:lang w:eastAsia="it-IT"/>
          <w14:ligatures w14:val="none"/>
        </w:rPr>
        <w:t xml:space="preserve"> 011/4321420)</w:t>
      </w:r>
    </w:p>
    <w:p w14:paraId="5A176985" w14:textId="77777777" w:rsidR="00217076" w:rsidRDefault="00217076"/>
    <w:sectPr w:rsidR="002170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33"/>
    <w:rsid w:val="00217076"/>
    <w:rsid w:val="003B51CF"/>
    <w:rsid w:val="00662401"/>
    <w:rsid w:val="007C5E33"/>
    <w:rsid w:val="00A23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EC29"/>
  <w15:chartTrackingRefBased/>
  <w15:docId w15:val="{42350BAE-8D71-4A75-8699-110F1A98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76563">
      <w:bodyDiv w:val="1"/>
      <w:marLeft w:val="0"/>
      <w:marRight w:val="0"/>
      <w:marTop w:val="0"/>
      <w:marBottom w:val="0"/>
      <w:divBdr>
        <w:top w:val="none" w:sz="0" w:space="0" w:color="auto"/>
        <w:left w:val="none" w:sz="0" w:space="0" w:color="auto"/>
        <w:bottom w:val="none" w:sz="0" w:space="0" w:color="auto"/>
        <w:right w:val="none" w:sz="0" w:space="0" w:color="auto"/>
      </w:divBdr>
      <w:divsChild>
        <w:div w:id="894773777">
          <w:marLeft w:val="0"/>
          <w:marRight w:val="0"/>
          <w:marTop w:val="0"/>
          <w:marBottom w:val="0"/>
          <w:divBdr>
            <w:top w:val="none" w:sz="0" w:space="0" w:color="auto"/>
            <w:left w:val="none" w:sz="0" w:space="0" w:color="auto"/>
            <w:bottom w:val="none" w:sz="0" w:space="0" w:color="auto"/>
            <w:right w:val="none" w:sz="0" w:space="0" w:color="auto"/>
          </w:divBdr>
        </w:div>
        <w:div w:id="1605185701">
          <w:marLeft w:val="0"/>
          <w:marRight w:val="0"/>
          <w:marTop w:val="0"/>
          <w:marBottom w:val="0"/>
          <w:divBdr>
            <w:top w:val="none" w:sz="0" w:space="0" w:color="auto"/>
            <w:left w:val="none" w:sz="0" w:space="0" w:color="auto"/>
            <w:bottom w:val="none" w:sz="0" w:space="0" w:color="auto"/>
            <w:right w:val="none" w:sz="0" w:space="0" w:color="auto"/>
          </w:divBdr>
          <w:divsChild>
            <w:div w:id="1930890140">
              <w:marLeft w:val="0"/>
              <w:marRight w:val="0"/>
              <w:marTop w:val="0"/>
              <w:marBottom w:val="0"/>
              <w:divBdr>
                <w:top w:val="none" w:sz="0" w:space="0" w:color="auto"/>
                <w:left w:val="none" w:sz="0" w:space="0" w:color="auto"/>
                <w:bottom w:val="none" w:sz="0" w:space="0" w:color="auto"/>
                <w:right w:val="none" w:sz="0" w:space="0" w:color="auto"/>
              </w:divBdr>
              <w:divsChild>
                <w:div w:id="1570504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1119">
          <w:marLeft w:val="0"/>
          <w:marRight w:val="0"/>
          <w:marTop w:val="0"/>
          <w:marBottom w:val="0"/>
          <w:divBdr>
            <w:top w:val="none" w:sz="0" w:space="0" w:color="auto"/>
            <w:left w:val="none" w:sz="0" w:space="0" w:color="auto"/>
            <w:bottom w:val="none" w:sz="0" w:space="0" w:color="auto"/>
            <w:right w:val="none" w:sz="0" w:space="0" w:color="auto"/>
          </w:divBdr>
          <w:divsChild>
            <w:div w:id="1879781971">
              <w:marLeft w:val="0"/>
              <w:marRight w:val="0"/>
              <w:marTop w:val="0"/>
              <w:marBottom w:val="0"/>
              <w:divBdr>
                <w:top w:val="none" w:sz="0" w:space="0" w:color="auto"/>
                <w:left w:val="none" w:sz="0" w:space="0" w:color="auto"/>
                <w:bottom w:val="none" w:sz="0" w:space="0" w:color="auto"/>
                <w:right w:val="none" w:sz="0" w:space="0" w:color="auto"/>
              </w:divBdr>
              <w:divsChild>
                <w:div w:id="807549877">
                  <w:marLeft w:val="0"/>
                  <w:marRight w:val="0"/>
                  <w:marTop w:val="0"/>
                  <w:marBottom w:val="0"/>
                  <w:divBdr>
                    <w:top w:val="none" w:sz="0" w:space="0" w:color="auto"/>
                    <w:left w:val="single" w:sz="48" w:space="0" w:color="B8191A"/>
                    <w:bottom w:val="none" w:sz="0" w:space="0" w:color="auto"/>
                    <w:right w:val="none" w:sz="0" w:space="0" w:color="auto"/>
                  </w:divBdr>
                </w:div>
                <w:div w:id="594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gione.piemonte.it/web/pinforma/tags/residui-vegeta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ione.piemonte.it/web/pinforma/tags/abbruciamenti" TargetMode="External"/><Relationship Id="rId5" Type="http://schemas.openxmlformats.org/officeDocument/2006/relationships/hyperlink" Target="https://www.regione.piemonte.it/web/temi/protezione-civile-difesa-suolo-opere-pubbliche/protezione-civile/incendi-boschivi/stato-massima-pericolosita-per-incendi-boschivi" TargetMode="External"/><Relationship Id="rId4" Type="http://schemas.openxmlformats.org/officeDocument/2006/relationships/hyperlink" Target="https://www.regione.piemonte.it/web/sites/default/files/media/documenti/2021-09/elenco_comuni_psqa.xls"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Anagrafe</cp:lastModifiedBy>
  <cp:revision>1</cp:revision>
  <dcterms:created xsi:type="dcterms:W3CDTF">2024-02-08T07:00:00Z</dcterms:created>
  <dcterms:modified xsi:type="dcterms:W3CDTF">2024-02-08T07:01:00Z</dcterms:modified>
</cp:coreProperties>
</file>